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07" w:rsidRDefault="00FA1229">
      <w:pPr>
        <w:pStyle w:val="a1"/>
      </w:pPr>
      <w:bookmarkStart w:id="0" w:name="docs-internal-guid-3d0ae5bd-faf3-39fd-cc"/>
      <w:bookmarkEnd w:id="0"/>
      <w:r>
        <w:rPr>
          <w:rFonts w:ascii="Arial" w:hAnsi="Arial"/>
          <w:b/>
          <w:i/>
          <w:color w:val="000000"/>
          <w:sz w:val="48"/>
          <w:szCs w:val="48"/>
          <w:shd w:val="clear" w:color="auto" w:fill="FFFFFF"/>
        </w:rPr>
        <w:t>Практическое значение поправок к закону о страховом деле</w:t>
      </w: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b/>
          <w:color w:val="000000"/>
          <w:sz w:val="36"/>
        </w:rPr>
        <w:t>Что придется изменить в работе с посредниками, перестраховании и приеме-передаче страхового портфеля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b/>
          <w:i/>
          <w:color w:val="000000"/>
          <w:sz w:val="29"/>
        </w:rPr>
        <w:t xml:space="preserve">Поправки к закону об организации страхового дела, вступающие в силу 21 января 2014 г., меняют </w:t>
      </w:r>
      <w:r>
        <w:rPr>
          <w:rFonts w:ascii="Arial" w:hAnsi="Arial"/>
          <w:b/>
          <w:i/>
          <w:color w:val="000000"/>
          <w:sz w:val="29"/>
        </w:rPr>
        <w:t>многое в работе страховщиков. С точки зрения практических последствий, наиболее существенны новые требования к работе с посредниками, перестрахованию и передаче страхового портфеля.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  <w:jc w:val="both"/>
      </w:pPr>
      <w:r>
        <w:rPr>
          <w:rFonts w:ascii="Arial" w:hAnsi="Arial"/>
          <w:b/>
          <w:color w:val="000000"/>
          <w:sz w:val="23"/>
        </w:rPr>
        <w:t>Екатерина Лукьянова, главный бухгалтер</w:t>
      </w:r>
      <w:r>
        <w:rPr>
          <w:color w:val="000000"/>
        </w:rPr>
        <w:t xml:space="preserve"> </w:t>
      </w:r>
      <w:r>
        <w:rPr>
          <w:rFonts w:ascii="Arial" w:hAnsi="Arial"/>
          <w:b/>
          <w:color w:val="000000"/>
          <w:sz w:val="23"/>
        </w:rPr>
        <w:t>ОАО «СГ МСК»</w:t>
      </w:r>
    </w:p>
    <w:p w:rsidR="00CA4607" w:rsidRDefault="00CA4607">
      <w:pPr>
        <w:pStyle w:val="a1"/>
        <w:spacing w:after="0" w:line="273" w:lineRule="auto"/>
      </w:pP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Новые поправки к за</w:t>
      </w:r>
      <w:r>
        <w:rPr>
          <w:rFonts w:ascii="Arial" w:hAnsi="Arial"/>
          <w:color w:val="000000"/>
          <w:sz w:val="23"/>
        </w:rPr>
        <w:t>кону об организации страхового дела, вступающие в силу уже с 21 января 2014 г., кардинально меняют базовый закон. В то же время многие новшества всего лишь приводят закон в соответствие со сложившейся страховой практикой и не потребуют от страховщиков знач</w:t>
      </w:r>
      <w:r>
        <w:rPr>
          <w:rFonts w:ascii="Arial" w:hAnsi="Arial"/>
          <w:color w:val="000000"/>
          <w:sz w:val="23"/>
        </w:rPr>
        <w:t xml:space="preserve">ительных перемен в работе. Хотела бы остановиться на ключевых, с моей точки зрения, поправках, которые </w:t>
      </w:r>
      <w:proofErr w:type="spellStart"/>
      <w:r>
        <w:rPr>
          <w:rFonts w:ascii="Arial" w:hAnsi="Arial"/>
          <w:color w:val="000000"/>
          <w:sz w:val="23"/>
        </w:rPr>
        <w:t>сущностно</w:t>
      </w:r>
      <w:proofErr w:type="spellEnd"/>
      <w:r>
        <w:rPr>
          <w:rFonts w:ascii="Arial" w:hAnsi="Arial"/>
          <w:color w:val="000000"/>
          <w:sz w:val="23"/>
        </w:rPr>
        <w:t xml:space="preserve"> меняют работу страховых компаний и требуют от них практических действий по приведению своей деятельности в соответствие с законом. 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b/>
          <w:color w:val="000000"/>
          <w:sz w:val="29"/>
        </w:rPr>
        <w:t>Работа с п</w:t>
      </w:r>
      <w:r>
        <w:rPr>
          <w:rFonts w:ascii="Arial" w:hAnsi="Arial"/>
          <w:b/>
          <w:color w:val="000000"/>
          <w:sz w:val="29"/>
        </w:rPr>
        <w:t>осредниками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Значительная часть новых поправок посвящена регулированию отношений страховщиков, страховых агентов и брокеров. При этом на первое место закон ставит интересы страхователей и застрахованных. 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b/>
          <w:color w:val="000000"/>
          <w:sz w:val="23"/>
        </w:rPr>
        <w:t>1. Страховщик отвечает по договорам, заключенным п</w:t>
      </w:r>
      <w:r>
        <w:rPr>
          <w:rFonts w:ascii="Arial" w:hAnsi="Arial"/>
          <w:b/>
          <w:color w:val="000000"/>
          <w:sz w:val="23"/>
        </w:rPr>
        <w:t xml:space="preserve">осредниками, вне зависимости от поступления оплаты по ним 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Впервые в законе прописана норма, устанавливающая уже сложившуюся практику: по договорам, заключенным страховыми посредниками от имени страховщика, </w:t>
      </w:r>
      <w:proofErr w:type="gramStart"/>
      <w:r>
        <w:rPr>
          <w:rFonts w:ascii="Arial" w:hAnsi="Arial"/>
          <w:color w:val="000000"/>
          <w:sz w:val="23"/>
        </w:rPr>
        <w:t>последний</w:t>
      </w:r>
      <w:proofErr w:type="gramEnd"/>
      <w:r>
        <w:rPr>
          <w:rFonts w:ascii="Arial" w:hAnsi="Arial"/>
          <w:color w:val="000000"/>
          <w:sz w:val="23"/>
        </w:rPr>
        <w:t xml:space="preserve"> несет ответственность вне зависимости от поступления ему страховой премии (если премия уплачена по</w:t>
      </w:r>
      <w:r>
        <w:rPr>
          <w:rFonts w:ascii="Arial" w:hAnsi="Arial"/>
          <w:color w:val="000000"/>
          <w:sz w:val="23"/>
        </w:rPr>
        <w:t>среднику). В судах соответствующую практику можно считать установленной постановлением</w:t>
      </w:r>
      <w:proofErr w:type="gramStart"/>
      <w:r>
        <w:rPr>
          <w:rFonts w:ascii="Arial" w:hAnsi="Arial"/>
          <w:color w:val="000000"/>
          <w:sz w:val="23"/>
        </w:rPr>
        <w:t xml:space="preserve"> Д</w:t>
      </w:r>
      <w:proofErr w:type="gramEnd"/>
      <w:r>
        <w:rPr>
          <w:rFonts w:ascii="Arial" w:hAnsi="Arial"/>
          <w:color w:val="000000"/>
          <w:sz w:val="23"/>
        </w:rPr>
        <w:t xml:space="preserve">евятого арбитражного апелляционного суда от </w:t>
      </w:r>
      <w:r>
        <w:rPr>
          <w:rFonts w:ascii="Arial" w:hAnsi="Arial"/>
          <w:color w:val="000000"/>
          <w:sz w:val="23"/>
        </w:rPr>
        <w:lastRenderedPageBreak/>
        <w:t xml:space="preserve">06.12.2010 № 09АП-28228/2010-ГК по делу № А40-37767/10-117-326. Стоит обратить внимание на то обстоятельство, что </w:t>
      </w:r>
      <w:r>
        <w:rPr>
          <w:rFonts w:ascii="Arial" w:hAnsi="Arial"/>
          <w:b/>
          <w:color w:val="000000"/>
          <w:sz w:val="23"/>
        </w:rPr>
        <w:t>если раньш</w:t>
      </w:r>
      <w:r>
        <w:rPr>
          <w:rFonts w:ascii="Arial" w:hAnsi="Arial"/>
          <w:b/>
          <w:color w:val="000000"/>
          <w:sz w:val="23"/>
        </w:rPr>
        <w:t xml:space="preserve">е отказ в выплате в случае неуплаты агентом страховой премии страховщику был чреват только проигрышем дела в суде, то теперь это – нарушение нормы закона, и может повлечь за собой санкции со стороны </w:t>
      </w:r>
      <w:proofErr w:type="spellStart"/>
      <w:r>
        <w:rPr>
          <w:rFonts w:ascii="Arial" w:hAnsi="Arial"/>
          <w:b/>
          <w:color w:val="000000"/>
          <w:sz w:val="23"/>
        </w:rPr>
        <w:t>страхнадзора</w:t>
      </w:r>
      <w:proofErr w:type="spellEnd"/>
      <w:r>
        <w:rPr>
          <w:rFonts w:ascii="Arial" w:hAnsi="Arial"/>
          <w:b/>
          <w:color w:val="000000"/>
          <w:sz w:val="23"/>
        </w:rPr>
        <w:t>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b/>
          <w:color w:val="000000"/>
          <w:sz w:val="23"/>
        </w:rPr>
        <w:t xml:space="preserve">2. Общедоступность информации о договорах </w:t>
      </w:r>
      <w:r>
        <w:rPr>
          <w:rFonts w:ascii="Arial" w:hAnsi="Arial"/>
          <w:b/>
          <w:color w:val="000000"/>
          <w:sz w:val="23"/>
        </w:rPr>
        <w:t>между страховщиками и страховыми посредниками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Для страховщиков установлена обязанность вести реестры агентов и брокеров и публиковать сведения, указанные в законе № 234-ФЗ («О защите прав потребителей»), позволяющие идентифицировать страхового агента и бр</w:t>
      </w:r>
      <w:r>
        <w:rPr>
          <w:rFonts w:ascii="Arial" w:hAnsi="Arial"/>
          <w:color w:val="000000"/>
          <w:sz w:val="23"/>
        </w:rPr>
        <w:t>окера. Отмечу, что полномочия по ведению указанного реестра страховая компания будет вправе передать объединению страховщиков (о чем также должна будет сообщить на своем сайте). Работа по созданию таких реестров в настоящее время ведется Всероссийским союз</w:t>
      </w:r>
      <w:r>
        <w:rPr>
          <w:rFonts w:ascii="Arial" w:hAnsi="Arial"/>
          <w:color w:val="000000"/>
          <w:sz w:val="23"/>
        </w:rPr>
        <w:t>ом страховщиков (ВСС).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b/>
          <w:color w:val="000000"/>
          <w:sz w:val="23"/>
        </w:rPr>
        <w:t>3. Требования к вознаграждению посредников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Согласно поправкам, максимальный размер вознаграждения, выплачиваемого по обязательным видам страхования (т. е. по таким, которые определены специальными федеральными законами, – сейчас эт</w:t>
      </w:r>
      <w:r>
        <w:rPr>
          <w:rFonts w:ascii="Arial" w:hAnsi="Arial"/>
          <w:color w:val="000000"/>
          <w:sz w:val="23"/>
        </w:rPr>
        <w:t>о ОСАГО, ОСОПО и ОСГОП), составляет 10% от страховой премии (</w:t>
      </w:r>
      <w:proofErr w:type="spellStart"/>
      <w:r>
        <w:rPr>
          <w:rFonts w:ascii="Arial" w:hAnsi="Arial"/>
          <w:color w:val="000000"/>
          <w:sz w:val="23"/>
        </w:rPr>
        <w:t>абз</w:t>
      </w:r>
      <w:proofErr w:type="spellEnd"/>
      <w:r>
        <w:rPr>
          <w:rFonts w:ascii="Arial" w:hAnsi="Arial"/>
          <w:color w:val="000000"/>
          <w:sz w:val="23"/>
        </w:rPr>
        <w:t>. 2 п. 4 ст. 8 закона об организации страхового дела в новой редакции). По ОСОПО и ОСГОП страховщики имели право выплачивать комиссионное в большем размере. Поэтому необходимо пересмотреть дог</w:t>
      </w:r>
      <w:r>
        <w:rPr>
          <w:rFonts w:ascii="Arial" w:hAnsi="Arial"/>
          <w:color w:val="000000"/>
          <w:sz w:val="23"/>
        </w:rPr>
        <w:t>оворы с посредниками на предмет превышения максимально допустимого размера комиссии.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b/>
          <w:color w:val="000000"/>
          <w:sz w:val="23"/>
        </w:rPr>
        <w:t>4. Запрет на работу посредником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Поправки вводят нормы, запрещающие выступать в роли страхового агента и брокера следующим лицам (п. 2 ст. 8 закона об организации </w:t>
      </w:r>
      <w:r>
        <w:rPr>
          <w:rFonts w:ascii="Arial" w:hAnsi="Arial"/>
          <w:color w:val="000000"/>
          <w:sz w:val="23"/>
        </w:rPr>
        <w:t>страхового дела в новой редакции):</w:t>
      </w:r>
    </w:p>
    <w:p w:rsidR="00CA4607" w:rsidRDefault="00CA4607">
      <w:pPr>
        <w:pStyle w:val="a1"/>
      </w:pPr>
    </w:p>
    <w:p w:rsidR="00CA4607" w:rsidRDefault="00FA1229">
      <w:pPr>
        <w:pStyle w:val="a1"/>
        <w:numPr>
          <w:ilvl w:val="0"/>
          <w:numId w:val="1"/>
        </w:numPr>
        <w:tabs>
          <w:tab w:val="left" w:pos="707"/>
        </w:tabs>
        <w:spacing w:after="0" w:line="273" w:lineRule="auto"/>
      </w:pPr>
      <w:proofErr w:type="gramStart"/>
      <w:r>
        <w:rPr>
          <w:rFonts w:ascii="Arial" w:hAnsi="Arial"/>
          <w:color w:val="000000"/>
          <w:sz w:val="23"/>
        </w:rPr>
        <w:t>занимающим</w:t>
      </w:r>
      <w:proofErr w:type="gramEnd"/>
      <w:r>
        <w:rPr>
          <w:rFonts w:ascii="Arial" w:hAnsi="Arial"/>
          <w:color w:val="000000"/>
          <w:sz w:val="23"/>
        </w:rPr>
        <w:t xml:space="preserve"> должности в органах управления страховщика, его дочерних и зависимых обществах;</w:t>
      </w:r>
    </w:p>
    <w:p w:rsidR="00CA4607" w:rsidRDefault="00FA1229">
      <w:pPr>
        <w:pStyle w:val="a1"/>
        <w:numPr>
          <w:ilvl w:val="0"/>
          <w:numId w:val="1"/>
        </w:numPr>
        <w:tabs>
          <w:tab w:val="left" w:pos="707"/>
        </w:tabs>
        <w:spacing w:after="0" w:line="273" w:lineRule="auto"/>
      </w:pPr>
      <w:proofErr w:type="gramStart"/>
      <w:r>
        <w:rPr>
          <w:rFonts w:ascii="Arial" w:hAnsi="Arial"/>
          <w:color w:val="000000"/>
          <w:sz w:val="23"/>
        </w:rPr>
        <w:t>имеющим</w:t>
      </w:r>
      <w:proofErr w:type="gramEnd"/>
      <w:r>
        <w:rPr>
          <w:rFonts w:ascii="Arial" w:hAnsi="Arial"/>
          <w:color w:val="000000"/>
          <w:sz w:val="23"/>
        </w:rPr>
        <w:t xml:space="preserve"> неснятую или непогашенную судимость;</w:t>
      </w:r>
    </w:p>
    <w:p w:rsidR="00CA4607" w:rsidRDefault="00FA1229">
      <w:pPr>
        <w:pStyle w:val="a1"/>
        <w:numPr>
          <w:ilvl w:val="0"/>
          <w:numId w:val="1"/>
        </w:numPr>
        <w:tabs>
          <w:tab w:val="left" w:pos="707"/>
        </w:tabs>
        <w:spacing w:after="0" w:line="273" w:lineRule="auto"/>
      </w:pPr>
      <w:r>
        <w:rPr>
          <w:rFonts w:ascii="Arial" w:hAnsi="Arial"/>
          <w:color w:val="000000"/>
          <w:sz w:val="23"/>
        </w:rPr>
        <w:t>осуществлявшим руководство страховщиком в течение двух лет до его признания арбитраж</w:t>
      </w:r>
      <w:r>
        <w:rPr>
          <w:rFonts w:ascii="Arial" w:hAnsi="Arial"/>
          <w:color w:val="000000"/>
          <w:sz w:val="23"/>
        </w:rPr>
        <w:t>ным судом банкротом, если со дня признания страховщика банкротом прошло менее трех лет.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Страховщикам следует проверить своих посредников (в первую очередь – страховых агентов) на соответствие этим требованиям.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b/>
          <w:color w:val="000000"/>
          <w:sz w:val="23"/>
        </w:rPr>
        <w:lastRenderedPageBreak/>
        <w:t xml:space="preserve">5. Запрет посреднику выступать в роли </w:t>
      </w:r>
      <w:proofErr w:type="spellStart"/>
      <w:r>
        <w:rPr>
          <w:rFonts w:ascii="Arial" w:hAnsi="Arial"/>
          <w:b/>
          <w:color w:val="000000"/>
          <w:sz w:val="23"/>
        </w:rPr>
        <w:t>выгодо</w:t>
      </w:r>
      <w:r>
        <w:rPr>
          <w:rFonts w:ascii="Arial" w:hAnsi="Arial"/>
          <w:b/>
          <w:color w:val="000000"/>
          <w:sz w:val="23"/>
        </w:rPr>
        <w:t>приобретателя</w:t>
      </w:r>
      <w:proofErr w:type="spellEnd"/>
      <w:r>
        <w:rPr>
          <w:rFonts w:ascii="Arial" w:hAnsi="Arial"/>
          <w:b/>
          <w:color w:val="000000"/>
          <w:sz w:val="23"/>
        </w:rPr>
        <w:t xml:space="preserve"> 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С 1 июля 2014 г. страховые посредники не могут указывать себя в качестве </w:t>
      </w:r>
      <w:proofErr w:type="spellStart"/>
      <w:r>
        <w:rPr>
          <w:rFonts w:ascii="Arial" w:hAnsi="Arial"/>
          <w:color w:val="000000"/>
          <w:sz w:val="23"/>
        </w:rPr>
        <w:t>выгодоприобретателя</w:t>
      </w:r>
      <w:proofErr w:type="spellEnd"/>
      <w:r>
        <w:rPr>
          <w:rFonts w:ascii="Arial" w:hAnsi="Arial"/>
          <w:color w:val="000000"/>
          <w:sz w:val="23"/>
        </w:rPr>
        <w:t xml:space="preserve"> по договорам страхования, заключаемым ими в пользу третьих лиц (</w:t>
      </w:r>
      <w:proofErr w:type="spellStart"/>
      <w:r>
        <w:rPr>
          <w:rFonts w:ascii="Arial" w:hAnsi="Arial"/>
          <w:color w:val="000000"/>
          <w:sz w:val="23"/>
        </w:rPr>
        <w:t>абз</w:t>
      </w:r>
      <w:proofErr w:type="spellEnd"/>
      <w:r>
        <w:rPr>
          <w:rFonts w:ascii="Arial" w:hAnsi="Arial"/>
          <w:color w:val="000000"/>
          <w:sz w:val="23"/>
        </w:rPr>
        <w:t>. 1 п. 4 ст. 8 закона об организации страхового дела в новой редакции). Как заяв</w:t>
      </w:r>
      <w:r>
        <w:rPr>
          <w:rFonts w:ascii="Arial" w:hAnsi="Arial"/>
          <w:color w:val="000000"/>
          <w:sz w:val="23"/>
        </w:rPr>
        <w:t xml:space="preserve">ляли разработчики поправок, эта норма направлена главным образом на борьбу с завышенными комиссиями, которые получают банки. 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Фактически благодаря этой норме кредитные организации, заключающие договоры страхования с заемщиками и указывающие себя </w:t>
      </w:r>
      <w:proofErr w:type="spellStart"/>
      <w:r>
        <w:rPr>
          <w:rFonts w:ascii="Arial" w:hAnsi="Arial"/>
          <w:color w:val="000000"/>
          <w:sz w:val="23"/>
        </w:rPr>
        <w:t>выгодопри</w:t>
      </w:r>
      <w:r>
        <w:rPr>
          <w:rFonts w:ascii="Arial" w:hAnsi="Arial"/>
          <w:color w:val="000000"/>
          <w:sz w:val="23"/>
        </w:rPr>
        <w:t>обретателями</w:t>
      </w:r>
      <w:proofErr w:type="spellEnd"/>
      <w:r>
        <w:rPr>
          <w:rFonts w:ascii="Arial" w:hAnsi="Arial"/>
          <w:color w:val="000000"/>
          <w:sz w:val="23"/>
        </w:rPr>
        <w:t xml:space="preserve"> по этим договорам, лишаются права выступать в роли агентов. Поэтому страховщикам нужно менять схему взаимоотношений с банками и к 1 июля 2014 г. отказаться от агентских договоров с ними.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b/>
          <w:color w:val="000000"/>
          <w:sz w:val="23"/>
        </w:rPr>
        <w:t>6. Перемены в работе со страховыми брокерами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Поправки </w:t>
      </w:r>
      <w:r>
        <w:rPr>
          <w:rFonts w:ascii="Arial" w:hAnsi="Arial"/>
          <w:color w:val="000000"/>
          <w:sz w:val="23"/>
        </w:rPr>
        <w:t>существенно меняют требования к работе страховых брокеров и к их взаимодействию со страхователями и страховщиками.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Во-первых, страховщик будет определять существенные условия договоров об оказании услуг страхового брокера: перечень услуг брокера, его прав</w:t>
      </w:r>
      <w:r>
        <w:rPr>
          <w:rFonts w:ascii="Arial" w:hAnsi="Arial"/>
          <w:color w:val="000000"/>
          <w:sz w:val="23"/>
        </w:rPr>
        <w:t>а, обязанности, порядок исполнения договора, срок его действия, стоимость услуг, порядок взаиморасчетов (п. 6 ст. 8 закона об организации страхового дела в новой редакции).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Во-вторых, страховые брокеры будут обязаны открывать специальные банковские счета </w:t>
      </w:r>
      <w:r>
        <w:rPr>
          <w:rFonts w:ascii="Arial" w:hAnsi="Arial"/>
          <w:color w:val="000000"/>
          <w:sz w:val="23"/>
        </w:rPr>
        <w:t>исключительно для зачисления денежных средств, поступивших от клиентов в счет оплаты договора страхования (перестрахования). Средства они должны будут перечислять страховщику в срок, не превышающий трех рабочих дней (</w:t>
      </w:r>
      <w:proofErr w:type="spellStart"/>
      <w:r>
        <w:rPr>
          <w:rFonts w:ascii="Arial" w:hAnsi="Arial"/>
          <w:color w:val="000000"/>
          <w:sz w:val="23"/>
        </w:rPr>
        <w:t>абз</w:t>
      </w:r>
      <w:proofErr w:type="spellEnd"/>
      <w:r>
        <w:rPr>
          <w:rFonts w:ascii="Arial" w:hAnsi="Arial"/>
          <w:color w:val="000000"/>
          <w:sz w:val="23"/>
        </w:rPr>
        <w:t>. 5 п. 6 ст. 8 закона об организации</w:t>
      </w:r>
      <w:r>
        <w:rPr>
          <w:rFonts w:ascii="Arial" w:hAnsi="Arial"/>
          <w:color w:val="000000"/>
          <w:sz w:val="23"/>
        </w:rPr>
        <w:t xml:space="preserve"> страхового дела в новой редакции).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В-третьих, с 1 июля 2015 г. они будут обязаны обладать гарантией исполнения обязательств. Это будет либо банковская гарантия на 3 </w:t>
      </w:r>
      <w:proofErr w:type="spellStart"/>
      <w:proofErr w:type="gramStart"/>
      <w:r>
        <w:rPr>
          <w:rFonts w:ascii="Arial" w:hAnsi="Arial"/>
          <w:color w:val="000000"/>
          <w:sz w:val="23"/>
        </w:rPr>
        <w:t>млн</w:t>
      </w:r>
      <w:proofErr w:type="spellEnd"/>
      <w:proofErr w:type="gramEnd"/>
      <w:r>
        <w:rPr>
          <w:rFonts w:ascii="Arial" w:hAnsi="Arial"/>
          <w:color w:val="000000"/>
          <w:sz w:val="23"/>
        </w:rPr>
        <w:t xml:space="preserve"> р., либо собственные средства в размере 3 </w:t>
      </w:r>
      <w:proofErr w:type="spellStart"/>
      <w:r>
        <w:rPr>
          <w:rFonts w:ascii="Arial" w:hAnsi="Arial"/>
          <w:color w:val="000000"/>
          <w:sz w:val="23"/>
        </w:rPr>
        <w:t>млн</w:t>
      </w:r>
      <w:proofErr w:type="spellEnd"/>
      <w:r>
        <w:rPr>
          <w:rFonts w:ascii="Arial" w:hAnsi="Arial"/>
          <w:color w:val="000000"/>
          <w:sz w:val="23"/>
        </w:rPr>
        <w:t xml:space="preserve"> р., размещенные в денежные средства (</w:t>
      </w:r>
      <w:proofErr w:type="spellStart"/>
      <w:r>
        <w:rPr>
          <w:rFonts w:ascii="Arial" w:hAnsi="Arial"/>
          <w:color w:val="000000"/>
          <w:sz w:val="23"/>
        </w:rPr>
        <w:t>аб</w:t>
      </w:r>
      <w:r>
        <w:rPr>
          <w:rFonts w:ascii="Arial" w:hAnsi="Arial"/>
          <w:color w:val="000000"/>
          <w:sz w:val="23"/>
        </w:rPr>
        <w:t>з</w:t>
      </w:r>
      <w:proofErr w:type="spellEnd"/>
      <w:r>
        <w:rPr>
          <w:rFonts w:ascii="Arial" w:hAnsi="Arial"/>
          <w:color w:val="000000"/>
          <w:sz w:val="23"/>
        </w:rPr>
        <w:t xml:space="preserve">. 6 п. 6 ст. 8 закона об организации страхового дела в новой редакции). 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В-четвертых, брокеру запретят действовать одновременно в интересах страхователя и страховщика при оказании услуг, связанных с заключением договоров страхования и перестрахования (</w:t>
      </w:r>
      <w:proofErr w:type="spellStart"/>
      <w:r>
        <w:rPr>
          <w:rFonts w:ascii="Arial" w:hAnsi="Arial"/>
          <w:color w:val="000000"/>
          <w:sz w:val="23"/>
        </w:rPr>
        <w:t>аб</w:t>
      </w:r>
      <w:r>
        <w:rPr>
          <w:rFonts w:ascii="Arial" w:hAnsi="Arial"/>
          <w:color w:val="000000"/>
          <w:sz w:val="23"/>
        </w:rPr>
        <w:t>з</w:t>
      </w:r>
      <w:proofErr w:type="spellEnd"/>
      <w:r>
        <w:rPr>
          <w:rFonts w:ascii="Arial" w:hAnsi="Arial"/>
          <w:color w:val="000000"/>
          <w:sz w:val="23"/>
        </w:rPr>
        <w:t>. 2 п. 6 ст. 8 закона об организации страхового дела в новой редакции).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В-пятых, к брокерам будут предъявляться дополнительные требования по их информационному взаимодействию как со страхователями, так и со страховщиками</w:t>
      </w:r>
      <w:proofErr w:type="gramStart"/>
      <w:r>
        <w:rPr>
          <w:rFonts w:ascii="Arial" w:hAnsi="Arial"/>
          <w:color w:val="000000"/>
          <w:sz w:val="23"/>
        </w:rPr>
        <w:t>.</w:t>
      </w:r>
      <w:proofErr w:type="gramEnd"/>
      <w:r>
        <w:rPr>
          <w:rFonts w:ascii="Arial" w:hAnsi="Arial"/>
          <w:color w:val="000000"/>
          <w:sz w:val="23"/>
        </w:rPr>
        <w:t xml:space="preserve"> (</w:t>
      </w:r>
      <w:proofErr w:type="spellStart"/>
      <w:proofErr w:type="gramStart"/>
      <w:r>
        <w:rPr>
          <w:rFonts w:ascii="Arial" w:hAnsi="Arial"/>
          <w:color w:val="000000"/>
          <w:sz w:val="23"/>
        </w:rPr>
        <w:t>а</w:t>
      </w:r>
      <w:proofErr w:type="gramEnd"/>
      <w:r>
        <w:rPr>
          <w:rFonts w:ascii="Arial" w:hAnsi="Arial"/>
          <w:color w:val="000000"/>
          <w:sz w:val="23"/>
        </w:rPr>
        <w:t>бз</w:t>
      </w:r>
      <w:proofErr w:type="spellEnd"/>
      <w:r>
        <w:rPr>
          <w:rFonts w:ascii="Arial" w:hAnsi="Arial"/>
          <w:color w:val="000000"/>
          <w:sz w:val="23"/>
        </w:rPr>
        <w:t>. 1 и 2 п. 8 ст. 8 закона об</w:t>
      </w:r>
      <w:r>
        <w:rPr>
          <w:rFonts w:ascii="Arial" w:hAnsi="Arial"/>
          <w:color w:val="000000"/>
          <w:sz w:val="23"/>
        </w:rPr>
        <w:t xml:space="preserve"> организации страхового дела в новой редакции). В </w:t>
      </w:r>
      <w:r>
        <w:rPr>
          <w:rFonts w:ascii="Arial" w:hAnsi="Arial"/>
          <w:color w:val="000000"/>
          <w:sz w:val="23"/>
        </w:rPr>
        <w:lastRenderedPageBreak/>
        <w:t>частности, они должны будут предоставлять страхователю по его требованию информацию о:</w:t>
      </w:r>
    </w:p>
    <w:p w:rsidR="00CA4607" w:rsidRDefault="00CA4607">
      <w:pPr>
        <w:pStyle w:val="a1"/>
      </w:pPr>
    </w:p>
    <w:p w:rsidR="00CA4607" w:rsidRDefault="00FA1229">
      <w:pPr>
        <w:pStyle w:val="a1"/>
        <w:numPr>
          <w:ilvl w:val="0"/>
          <w:numId w:val="2"/>
        </w:numPr>
        <w:tabs>
          <w:tab w:val="left" w:pos="707"/>
        </w:tabs>
        <w:spacing w:after="0" w:line="273" w:lineRule="auto"/>
      </w:pPr>
      <w:proofErr w:type="gramStart"/>
      <w:r>
        <w:rPr>
          <w:rFonts w:ascii="Arial" w:hAnsi="Arial"/>
          <w:color w:val="000000"/>
          <w:sz w:val="23"/>
        </w:rPr>
        <w:t>своих</w:t>
      </w:r>
      <w:proofErr w:type="gramEnd"/>
      <w:r>
        <w:rPr>
          <w:rFonts w:ascii="Arial" w:hAnsi="Arial"/>
          <w:color w:val="000000"/>
          <w:sz w:val="23"/>
        </w:rPr>
        <w:t xml:space="preserve"> наименовании и местонахождении;</w:t>
      </w:r>
    </w:p>
    <w:p w:rsidR="00CA4607" w:rsidRDefault="00FA1229">
      <w:pPr>
        <w:pStyle w:val="a1"/>
        <w:numPr>
          <w:ilvl w:val="0"/>
          <w:numId w:val="2"/>
        </w:numPr>
        <w:tabs>
          <w:tab w:val="left" w:pos="707"/>
        </w:tabs>
        <w:spacing w:after="0" w:line="273" w:lineRule="auto"/>
      </w:pPr>
      <w:r>
        <w:rPr>
          <w:rFonts w:ascii="Arial" w:hAnsi="Arial"/>
          <w:color w:val="000000"/>
          <w:sz w:val="23"/>
        </w:rPr>
        <w:t>лицензии;</w:t>
      </w:r>
    </w:p>
    <w:p w:rsidR="00CA4607" w:rsidRDefault="00FA1229">
      <w:pPr>
        <w:pStyle w:val="a1"/>
        <w:numPr>
          <w:ilvl w:val="0"/>
          <w:numId w:val="2"/>
        </w:numPr>
        <w:tabs>
          <w:tab w:val="left" w:pos="707"/>
        </w:tabs>
        <w:spacing w:after="0" w:line="273" w:lineRule="auto"/>
      </w:pPr>
      <w:proofErr w:type="gramStart"/>
      <w:r>
        <w:rPr>
          <w:rFonts w:ascii="Arial" w:hAnsi="Arial"/>
          <w:color w:val="000000"/>
          <w:sz w:val="23"/>
        </w:rPr>
        <w:t>перечне</w:t>
      </w:r>
      <w:proofErr w:type="gramEnd"/>
      <w:r>
        <w:rPr>
          <w:rFonts w:ascii="Arial" w:hAnsi="Arial"/>
          <w:color w:val="000000"/>
          <w:sz w:val="23"/>
        </w:rPr>
        <w:t xml:space="preserve"> оказываемых услуг; </w:t>
      </w:r>
    </w:p>
    <w:p w:rsidR="00CA4607" w:rsidRDefault="00FA1229">
      <w:pPr>
        <w:pStyle w:val="a1"/>
        <w:numPr>
          <w:ilvl w:val="0"/>
          <w:numId w:val="2"/>
        </w:numPr>
        <w:tabs>
          <w:tab w:val="left" w:pos="707"/>
        </w:tabs>
        <w:spacing w:after="0" w:line="273" w:lineRule="auto"/>
      </w:pPr>
      <w:proofErr w:type="gramStart"/>
      <w:r>
        <w:rPr>
          <w:rFonts w:ascii="Arial" w:hAnsi="Arial"/>
          <w:color w:val="000000"/>
          <w:sz w:val="23"/>
        </w:rPr>
        <w:t>страховщике</w:t>
      </w:r>
      <w:proofErr w:type="gramEnd"/>
      <w:r>
        <w:rPr>
          <w:rFonts w:ascii="Arial" w:hAnsi="Arial"/>
          <w:color w:val="000000"/>
          <w:sz w:val="23"/>
        </w:rPr>
        <w:t>, в интересах которого осуществ</w:t>
      </w:r>
      <w:r>
        <w:rPr>
          <w:rFonts w:ascii="Arial" w:hAnsi="Arial"/>
          <w:color w:val="000000"/>
          <w:sz w:val="23"/>
        </w:rPr>
        <w:t xml:space="preserve">ляется страхование, </w:t>
      </w:r>
    </w:p>
    <w:p w:rsidR="00CA4607" w:rsidRDefault="00FA1229">
      <w:pPr>
        <w:pStyle w:val="a1"/>
        <w:numPr>
          <w:ilvl w:val="0"/>
          <w:numId w:val="2"/>
        </w:numPr>
        <w:tabs>
          <w:tab w:val="left" w:pos="707"/>
        </w:tabs>
        <w:spacing w:after="0" w:line="273" w:lineRule="auto"/>
      </w:pPr>
      <w:proofErr w:type="gramStart"/>
      <w:r>
        <w:rPr>
          <w:rFonts w:ascii="Arial" w:hAnsi="Arial"/>
          <w:color w:val="000000"/>
          <w:sz w:val="23"/>
        </w:rPr>
        <w:t>наличии</w:t>
      </w:r>
      <w:proofErr w:type="gramEnd"/>
      <w:r>
        <w:rPr>
          <w:rFonts w:ascii="Arial" w:hAnsi="Arial"/>
          <w:color w:val="000000"/>
          <w:sz w:val="23"/>
        </w:rPr>
        <w:t xml:space="preserve"> (с указанием доли) или об отсутствии участия в капитале страховщика (страховщиков);</w:t>
      </w:r>
    </w:p>
    <w:p w:rsidR="00CA4607" w:rsidRDefault="00FA1229">
      <w:pPr>
        <w:pStyle w:val="a1"/>
        <w:numPr>
          <w:ilvl w:val="0"/>
          <w:numId w:val="2"/>
        </w:numPr>
        <w:tabs>
          <w:tab w:val="left" w:pos="707"/>
        </w:tabs>
        <w:spacing w:after="0" w:line="273" w:lineRule="auto"/>
      </w:pPr>
      <w:proofErr w:type="gramStart"/>
      <w:r>
        <w:rPr>
          <w:rFonts w:ascii="Arial" w:hAnsi="Arial"/>
          <w:color w:val="000000"/>
          <w:sz w:val="23"/>
        </w:rPr>
        <w:t>видах</w:t>
      </w:r>
      <w:proofErr w:type="gramEnd"/>
      <w:r>
        <w:rPr>
          <w:rFonts w:ascii="Arial" w:hAnsi="Arial"/>
          <w:color w:val="000000"/>
          <w:sz w:val="23"/>
        </w:rPr>
        <w:t xml:space="preserve"> и об условиях страхования, </w:t>
      </w:r>
    </w:p>
    <w:p w:rsidR="00CA4607" w:rsidRDefault="00FA1229">
      <w:pPr>
        <w:pStyle w:val="a1"/>
        <w:numPr>
          <w:ilvl w:val="0"/>
          <w:numId w:val="2"/>
        </w:numPr>
        <w:tabs>
          <w:tab w:val="left" w:pos="707"/>
        </w:tabs>
        <w:spacing w:after="0" w:line="273" w:lineRule="auto"/>
      </w:pPr>
      <w:r>
        <w:rPr>
          <w:rFonts w:ascii="Arial" w:hAnsi="Arial"/>
          <w:color w:val="000000"/>
          <w:sz w:val="23"/>
        </w:rPr>
        <w:t>а также результаты анализа страховых услуг (подлежащих страхованию объектов, страховых рисков, страховых тари</w:t>
      </w:r>
      <w:r>
        <w:rPr>
          <w:rFonts w:ascii="Arial" w:hAnsi="Arial"/>
          <w:color w:val="000000"/>
          <w:sz w:val="23"/>
        </w:rPr>
        <w:t>фов и иных условий страхования у различных страховщиков), подтверждающие, что предложение страхового брокера страхователю сформировано с учетом потребностей страхователя.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Страховщику брокер будет обязан предоставлять, в частности, полученную от страховате</w:t>
      </w:r>
      <w:r>
        <w:rPr>
          <w:rFonts w:ascii="Arial" w:hAnsi="Arial"/>
          <w:color w:val="000000"/>
          <w:sz w:val="23"/>
        </w:rPr>
        <w:t>ля информацию о страховом риске, об объекте, о предмете страхования, о его потребности в страховании.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Большая часть этих перемен потребует изменения соответствующих положений договоров со страховыми брокерами. 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b/>
          <w:color w:val="000000"/>
          <w:sz w:val="29"/>
        </w:rPr>
        <w:t>Перестрахование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Ст. 13 новой редакции зако</w:t>
      </w:r>
      <w:r>
        <w:rPr>
          <w:rFonts w:ascii="Arial" w:hAnsi="Arial"/>
          <w:color w:val="000000"/>
          <w:sz w:val="23"/>
        </w:rPr>
        <w:t>на об организации страхового дела накладывает ограничение на риски, которые страховщик может оставлять на собственном удержании. Размер собственного удержания и порядок его определения должны быть указаны в учетной политике страховщика.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Правила </w:t>
      </w:r>
      <w:r>
        <w:rPr>
          <w:rFonts w:ascii="Arial" w:hAnsi="Arial"/>
          <w:color w:val="000000"/>
          <w:sz w:val="23"/>
        </w:rPr>
        <w:t>составления учетной политики для страховщиков закреплены в следующих документах:</w:t>
      </w:r>
    </w:p>
    <w:p w:rsidR="00CA4607" w:rsidRDefault="00CA4607">
      <w:pPr>
        <w:pStyle w:val="a1"/>
      </w:pPr>
    </w:p>
    <w:p w:rsidR="00CA4607" w:rsidRDefault="00FA1229">
      <w:pPr>
        <w:pStyle w:val="a1"/>
        <w:numPr>
          <w:ilvl w:val="0"/>
          <w:numId w:val="3"/>
        </w:numPr>
        <w:tabs>
          <w:tab w:val="left" w:pos="707"/>
        </w:tabs>
        <w:spacing w:after="0" w:line="273" w:lineRule="auto"/>
      </w:pPr>
      <w:r>
        <w:rPr>
          <w:rFonts w:ascii="Arial" w:hAnsi="Arial"/>
          <w:color w:val="000000"/>
          <w:sz w:val="23"/>
        </w:rPr>
        <w:t>Международный стандарт финансовой отчетности (IAS) 8 «Учетная политика, изменения в бухгалтерских оценках и ошибки» (Приложение № 4 к Приказу Минфина России от 25.11.2011 № 1</w:t>
      </w:r>
      <w:r>
        <w:rPr>
          <w:rFonts w:ascii="Arial" w:hAnsi="Arial"/>
          <w:color w:val="000000"/>
          <w:sz w:val="23"/>
        </w:rPr>
        <w:t>60н);</w:t>
      </w:r>
    </w:p>
    <w:p w:rsidR="00CA4607" w:rsidRDefault="00FA1229">
      <w:pPr>
        <w:pStyle w:val="a1"/>
        <w:numPr>
          <w:ilvl w:val="0"/>
          <w:numId w:val="3"/>
        </w:numPr>
        <w:tabs>
          <w:tab w:val="left" w:pos="707"/>
        </w:tabs>
        <w:spacing w:after="0" w:line="273" w:lineRule="auto"/>
      </w:pPr>
      <w:r>
        <w:rPr>
          <w:rFonts w:ascii="Arial" w:hAnsi="Arial"/>
          <w:color w:val="000000"/>
          <w:sz w:val="23"/>
        </w:rPr>
        <w:t>Международный стандарт финансовой отчетности (IFRS) 4 «Договоры страхования» (Приложение № 33 к Приказу Минфина России от 25.11.2011 № 160н).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Разумеется, изменения необходимо внести в учетную политику на 2014 г.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Кроме того, поправки изменяют </w:t>
      </w:r>
      <w:r>
        <w:rPr>
          <w:rFonts w:ascii="Arial" w:hAnsi="Arial"/>
          <w:color w:val="000000"/>
          <w:sz w:val="23"/>
        </w:rPr>
        <w:t>перечень обязатель</w:t>
      </w:r>
      <w:proofErr w:type="gramStart"/>
      <w:r>
        <w:rPr>
          <w:rFonts w:ascii="Arial" w:hAnsi="Arial"/>
          <w:color w:val="000000"/>
          <w:sz w:val="23"/>
        </w:rPr>
        <w:t>ств стр</w:t>
      </w:r>
      <w:proofErr w:type="gramEnd"/>
      <w:r>
        <w:rPr>
          <w:rFonts w:ascii="Arial" w:hAnsi="Arial"/>
          <w:color w:val="000000"/>
          <w:sz w:val="23"/>
        </w:rPr>
        <w:t xml:space="preserve">аховщика, не подлежащих </w:t>
      </w:r>
      <w:r>
        <w:rPr>
          <w:rFonts w:ascii="Arial" w:hAnsi="Arial"/>
          <w:color w:val="000000"/>
          <w:sz w:val="23"/>
        </w:rPr>
        <w:lastRenderedPageBreak/>
        <w:t>перестрахованию (п. 12 ст. 13 закона об организации страхового дела в новой редакции) – а именно, с 1 июля 2014 г. вводится запрет на перестрахование обязательств страховщика по договорам ОСАГО.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Кроме того,</w:t>
      </w:r>
      <w:r>
        <w:rPr>
          <w:rFonts w:ascii="Arial" w:hAnsi="Arial"/>
          <w:color w:val="000000"/>
          <w:sz w:val="23"/>
        </w:rPr>
        <w:t xml:space="preserve"> сокращается перечень видов обязатель</w:t>
      </w:r>
      <w:proofErr w:type="gramStart"/>
      <w:r>
        <w:rPr>
          <w:rFonts w:ascii="Arial" w:hAnsi="Arial"/>
          <w:color w:val="000000"/>
          <w:sz w:val="23"/>
        </w:rPr>
        <w:t>ств стр</w:t>
      </w:r>
      <w:proofErr w:type="gramEnd"/>
      <w:r>
        <w:rPr>
          <w:rFonts w:ascii="Arial" w:hAnsi="Arial"/>
          <w:color w:val="000000"/>
          <w:sz w:val="23"/>
        </w:rPr>
        <w:t>аховщика, не подлежащих перестрахованию. Теперь можно будет перестраховывать риск дожития застрахованного лица до определенного возраста или срока, а также до наступления иного события по договорам страхования жи</w:t>
      </w:r>
      <w:r>
        <w:rPr>
          <w:rFonts w:ascii="Arial" w:hAnsi="Arial"/>
          <w:color w:val="000000"/>
          <w:sz w:val="23"/>
        </w:rPr>
        <w:t>зни.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Поправки закрепляют определение форм перестрахования:</w:t>
      </w:r>
    </w:p>
    <w:p w:rsidR="00CA4607" w:rsidRDefault="00FA1229">
      <w:pPr>
        <w:pStyle w:val="a1"/>
        <w:numPr>
          <w:ilvl w:val="0"/>
          <w:numId w:val="4"/>
        </w:numPr>
        <w:tabs>
          <w:tab w:val="left" w:pos="707"/>
        </w:tabs>
        <w:spacing w:after="0" w:line="273" w:lineRule="auto"/>
      </w:pPr>
      <w:r>
        <w:rPr>
          <w:rFonts w:ascii="Arial" w:hAnsi="Arial"/>
          <w:color w:val="000000"/>
          <w:sz w:val="23"/>
        </w:rPr>
        <w:t>облигаторное;</w:t>
      </w:r>
    </w:p>
    <w:p w:rsidR="00CA4607" w:rsidRDefault="00FA1229">
      <w:pPr>
        <w:pStyle w:val="a1"/>
        <w:numPr>
          <w:ilvl w:val="0"/>
          <w:numId w:val="4"/>
        </w:numPr>
        <w:tabs>
          <w:tab w:val="left" w:pos="707"/>
        </w:tabs>
        <w:spacing w:after="0" w:line="273" w:lineRule="auto"/>
      </w:pPr>
      <w:r>
        <w:rPr>
          <w:rFonts w:ascii="Arial" w:hAnsi="Arial"/>
          <w:color w:val="000000"/>
          <w:sz w:val="23"/>
        </w:rPr>
        <w:t>факультативное;</w:t>
      </w:r>
    </w:p>
    <w:p w:rsidR="00CA4607" w:rsidRDefault="00FA1229">
      <w:pPr>
        <w:pStyle w:val="a1"/>
        <w:numPr>
          <w:ilvl w:val="0"/>
          <w:numId w:val="4"/>
        </w:numPr>
        <w:tabs>
          <w:tab w:val="left" w:pos="707"/>
        </w:tabs>
        <w:spacing w:after="0" w:line="273" w:lineRule="auto"/>
      </w:pPr>
      <w:r>
        <w:rPr>
          <w:rFonts w:ascii="Arial" w:hAnsi="Arial"/>
          <w:color w:val="000000"/>
          <w:sz w:val="23"/>
        </w:rPr>
        <w:t>факультативно-облигаторное;</w:t>
      </w:r>
    </w:p>
    <w:p w:rsidR="00CA4607" w:rsidRDefault="00FA1229">
      <w:pPr>
        <w:pStyle w:val="a1"/>
        <w:numPr>
          <w:ilvl w:val="0"/>
          <w:numId w:val="4"/>
        </w:numPr>
        <w:tabs>
          <w:tab w:val="left" w:pos="707"/>
        </w:tabs>
        <w:spacing w:after="0" w:line="273" w:lineRule="auto"/>
      </w:pPr>
      <w:proofErr w:type="spellStart"/>
      <w:r>
        <w:rPr>
          <w:rFonts w:ascii="Arial" w:hAnsi="Arial"/>
          <w:color w:val="000000"/>
          <w:sz w:val="23"/>
        </w:rPr>
        <w:t>облигаторно-факультативное</w:t>
      </w:r>
      <w:proofErr w:type="spellEnd"/>
      <w:r>
        <w:rPr>
          <w:rFonts w:ascii="Arial" w:hAnsi="Arial"/>
          <w:color w:val="000000"/>
          <w:sz w:val="23"/>
        </w:rPr>
        <w:t>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При этом законом оговорена естественная особенность облигаторного перестрахования: обязательства по прямому д</w:t>
      </w:r>
      <w:r>
        <w:rPr>
          <w:rFonts w:ascii="Arial" w:hAnsi="Arial"/>
          <w:color w:val="000000"/>
          <w:sz w:val="23"/>
        </w:rPr>
        <w:t>оговору считаются перестрахованными со дня его вступления в силу, если договором не предусмотрено иное (п. 6 ст. 13 закона об организации страхового дела в новой редакции).</w:t>
      </w:r>
    </w:p>
    <w:p w:rsidR="00CA4607" w:rsidRDefault="00FA1229">
      <w:pPr>
        <w:pStyle w:val="a1"/>
      </w:pPr>
      <w:r>
        <w:br/>
      </w:r>
      <w:r>
        <w:br/>
      </w:r>
      <w:r>
        <w:rPr>
          <w:noProof/>
          <w:lang w:eastAsia="ru-RU" w:bidi="ar-SA"/>
        </w:rPr>
        <w:drawing>
          <wp:inline distT="0" distB="0" distL="0" distR="0">
            <wp:extent cx="5943600" cy="27527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3"/>
        </w:rPr>
        <w:t xml:space="preserve">Отмечу, что в настоящее время сходное деление по формам договоров существует на </w:t>
      </w:r>
      <w:r>
        <w:rPr>
          <w:rFonts w:ascii="Arial" w:hAnsi="Arial"/>
          <w:color w:val="000000"/>
          <w:sz w:val="23"/>
        </w:rPr>
        <w:t xml:space="preserve">практике. Некоторые из вышеназванных форм перестрахования использовались в подзаконных актах без раскрытия их содержания </w:t>
      </w:r>
      <w:proofErr w:type="gramStart"/>
      <w:r>
        <w:rPr>
          <w:rFonts w:ascii="Arial" w:hAnsi="Arial"/>
          <w:color w:val="000000"/>
          <w:sz w:val="23"/>
        </w:rPr>
        <w:t>даже</w:t>
      </w:r>
      <w:proofErr w:type="gramEnd"/>
      <w:r>
        <w:rPr>
          <w:rFonts w:ascii="Arial" w:hAnsi="Arial"/>
          <w:color w:val="000000"/>
          <w:sz w:val="23"/>
        </w:rPr>
        <w:t xml:space="preserve"> несмотря на то, что не были закреплены на уровне федерального закона.</w:t>
      </w: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Так, в приказе Минфина России от 20.10.2008 № 113н «О форме </w:t>
      </w:r>
      <w:r>
        <w:rPr>
          <w:rFonts w:ascii="Arial" w:hAnsi="Arial"/>
          <w:color w:val="000000"/>
          <w:sz w:val="23"/>
        </w:rPr>
        <w:t>годовой статистической отчетности N 2-С», выделяются договоры облигаторного, факультативного и факультативно-облигаторного перестрахования.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Кроме того, в поправках указано на возможность применения пропорционального и </w:t>
      </w:r>
      <w:r>
        <w:rPr>
          <w:rFonts w:ascii="Arial" w:hAnsi="Arial"/>
          <w:color w:val="000000"/>
          <w:sz w:val="23"/>
        </w:rPr>
        <w:lastRenderedPageBreak/>
        <w:t xml:space="preserve">непропорционального перестрахования. </w:t>
      </w:r>
      <w:r>
        <w:rPr>
          <w:rFonts w:ascii="Arial" w:hAnsi="Arial"/>
          <w:color w:val="000000"/>
          <w:sz w:val="23"/>
        </w:rPr>
        <w:t xml:space="preserve">Особенности должны будут определяться условиями договора перестрахования. Как правило, при пропорциональном перестраховании размер премии перестраховщика зависит от размера премии страховщика, а при непропорциональном – определяется в твердой сумме. 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Попр</w:t>
      </w:r>
      <w:r>
        <w:rPr>
          <w:rFonts w:ascii="Arial" w:hAnsi="Arial"/>
          <w:color w:val="000000"/>
          <w:sz w:val="23"/>
        </w:rPr>
        <w:t xml:space="preserve">авки дают нормативное определение понятия «тантьема». Согласно закону, </w:t>
      </w:r>
      <w:r>
        <w:rPr>
          <w:rFonts w:ascii="Arial" w:hAnsi="Arial"/>
          <w:b/>
          <w:i/>
          <w:color w:val="000000"/>
          <w:sz w:val="23"/>
        </w:rPr>
        <w:t xml:space="preserve">тантьема </w:t>
      </w:r>
      <w:r>
        <w:rPr>
          <w:rFonts w:ascii="Arial" w:hAnsi="Arial"/>
          <w:color w:val="000000"/>
          <w:sz w:val="23"/>
        </w:rPr>
        <w:t xml:space="preserve">представляет собой </w:t>
      </w:r>
      <w:r>
        <w:rPr>
          <w:rFonts w:ascii="Arial" w:hAnsi="Arial"/>
          <w:i/>
          <w:color w:val="000000"/>
          <w:sz w:val="23"/>
        </w:rPr>
        <w:t>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</w:t>
      </w:r>
      <w:r>
        <w:rPr>
          <w:rFonts w:ascii="Arial" w:hAnsi="Arial"/>
          <w:i/>
          <w:color w:val="000000"/>
          <w:sz w:val="23"/>
        </w:rPr>
        <w:t>говору перестрахования или группе таких договоров за определенный период времени.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Понятие «тантьемы» определено также в Налоговом кодексе. Согласно этому определению, тантьема – это форма вознаграждения страховщика со стороны перестраховщика. В соответств</w:t>
      </w:r>
      <w:r>
        <w:rPr>
          <w:rFonts w:ascii="Arial" w:hAnsi="Arial"/>
          <w:color w:val="000000"/>
          <w:sz w:val="23"/>
        </w:rPr>
        <w:t>ии с Налоговым кодексом, тантьемы включаются в состав доходов или расходов, полученных по договорам перестрахования (</w:t>
      </w:r>
      <w:proofErr w:type="spellStart"/>
      <w:r>
        <w:rPr>
          <w:rFonts w:ascii="Arial" w:hAnsi="Arial"/>
          <w:color w:val="000000"/>
          <w:sz w:val="23"/>
        </w:rPr>
        <w:t>подп</w:t>
      </w:r>
      <w:proofErr w:type="spellEnd"/>
      <w:r>
        <w:rPr>
          <w:rFonts w:ascii="Arial" w:hAnsi="Arial"/>
          <w:color w:val="000000"/>
          <w:sz w:val="23"/>
        </w:rPr>
        <w:t xml:space="preserve">. 3 п. 2 ст. 293 и </w:t>
      </w:r>
      <w:proofErr w:type="spellStart"/>
      <w:r>
        <w:rPr>
          <w:rFonts w:ascii="Arial" w:hAnsi="Arial"/>
          <w:color w:val="000000"/>
          <w:sz w:val="23"/>
        </w:rPr>
        <w:t>подп</w:t>
      </w:r>
      <w:proofErr w:type="spellEnd"/>
      <w:r>
        <w:rPr>
          <w:rFonts w:ascii="Arial" w:hAnsi="Arial"/>
          <w:color w:val="000000"/>
          <w:sz w:val="23"/>
        </w:rPr>
        <w:t>. 4 п. 2 ст. 294 НК РФ).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Из-за нечеткого определения понятия «тантьема» в Налоговом кодексе в практике арбитраж</w:t>
      </w:r>
      <w:r>
        <w:rPr>
          <w:rFonts w:ascii="Arial" w:hAnsi="Arial"/>
          <w:color w:val="000000"/>
          <w:sz w:val="23"/>
        </w:rPr>
        <w:t>ных судов встречались споры о том, какие платежи могут быть отнесены к категории «тантьема» в целях определения базы по налогу на прибыль, а какие – нет (</w:t>
      </w:r>
      <w:proofErr w:type="gramStart"/>
      <w:r>
        <w:rPr>
          <w:rFonts w:ascii="Arial" w:hAnsi="Arial"/>
          <w:color w:val="000000"/>
          <w:sz w:val="23"/>
        </w:rPr>
        <w:t>см</w:t>
      </w:r>
      <w:proofErr w:type="gramEnd"/>
      <w:r>
        <w:rPr>
          <w:rFonts w:ascii="Arial" w:hAnsi="Arial"/>
          <w:color w:val="000000"/>
          <w:sz w:val="23"/>
        </w:rPr>
        <w:t>. Постановление ФАС Московского округа от 19.02.2013 по делу № А40-30013/12-91-149). Можно надеяться</w:t>
      </w:r>
      <w:r>
        <w:rPr>
          <w:rFonts w:ascii="Arial" w:hAnsi="Arial"/>
          <w:color w:val="000000"/>
          <w:sz w:val="23"/>
        </w:rPr>
        <w:t xml:space="preserve">, что теперь этих споров не будет. 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b/>
          <w:color w:val="000000"/>
          <w:sz w:val="29"/>
        </w:rPr>
        <w:t>Передача страхового портфеля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>У многих страховщиков, обладающих небольшими дочерними страховыми компаниями, либо покупающих небольших региональных страховщиков, встает проблема передачи страхового портфеля. Поправки к з</w:t>
      </w:r>
      <w:r>
        <w:rPr>
          <w:rFonts w:ascii="Arial" w:hAnsi="Arial"/>
          <w:color w:val="000000"/>
          <w:sz w:val="23"/>
        </w:rPr>
        <w:t xml:space="preserve">акону об организации страхового дела закрепляют новые правила передачи страхового портфеля, которые сближают эту процедуру с нормами о передаче страхового портфеля при банкротстве страховщика. 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В настоящее время правила передачи страхового портфеля </w:t>
      </w:r>
      <w:r>
        <w:rPr>
          <w:rFonts w:ascii="Arial" w:hAnsi="Arial"/>
          <w:color w:val="000000"/>
          <w:sz w:val="23"/>
        </w:rPr>
        <w:t>различаются в зависимости от того, передается такой портфель по решению самого страховщика или его передача связана с отзывом лицензии или с процедурой банкротства страховщика. Различия связаны с правилами взаимодействия страховщиков и страхователей в проц</w:t>
      </w:r>
      <w:r>
        <w:rPr>
          <w:rFonts w:ascii="Arial" w:hAnsi="Arial"/>
          <w:color w:val="000000"/>
          <w:sz w:val="23"/>
        </w:rPr>
        <w:t>ессе передачи страхового портфеля. Отличия сведены в приведенные ниже таблицы.</w:t>
      </w:r>
    </w:p>
    <w:p w:rsidR="00CA4607" w:rsidRDefault="00FA1229">
      <w:pPr>
        <w:pStyle w:val="a1"/>
      </w:pPr>
      <w:r>
        <w:br/>
      </w:r>
      <w:r>
        <w:rPr>
          <w:noProof/>
          <w:lang w:eastAsia="ru-RU" w:bidi="ar-SA"/>
        </w:rPr>
        <w:lastRenderedPageBreak/>
        <w:drawing>
          <wp:inline distT="0" distB="0" distL="0" distR="0">
            <wp:extent cx="5943600" cy="423862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 w:bidi="ar-SA"/>
        </w:rPr>
        <w:drawing>
          <wp:inline distT="0" distB="0" distL="0" distR="0">
            <wp:extent cx="5943600" cy="469582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07" w:rsidRDefault="00FA1229">
      <w:pPr>
        <w:pStyle w:val="a1"/>
        <w:spacing w:after="0" w:line="273" w:lineRule="auto"/>
        <w:jc w:val="both"/>
      </w:pPr>
      <w:r>
        <w:rPr>
          <w:rFonts w:ascii="Arial" w:hAnsi="Arial"/>
          <w:b/>
          <w:color w:val="000000"/>
          <w:sz w:val="23"/>
        </w:rPr>
        <w:t>Об авторе</w:t>
      </w:r>
    </w:p>
    <w:p w:rsidR="00CA4607" w:rsidRDefault="00CA4607">
      <w:pPr>
        <w:pStyle w:val="a1"/>
      </w:pPr>
    </w:p>
    <w:p w:rsidR="00CA4607" w:rsidRDefault="00FA1229">
      <w:pPr>
        <w:pStyle w:val="a1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Екатерина Лукьянова окончила Академию народного хозяйства им. Плеханова. В страховании работает с 1992 г. С 2006 г. трудилась главным бухгалтером СК «Цюрих» </w:t>
      </w:r>
      <w:r>
        <w:rPr>
          <w:rFonts w:ascii="Arial" w:hAnsi="Arial"/>
          <w:color w:val="000000"/>
          <w:sz w:val="23"/>
        </w:rPr>
        <w:t>(</w:t>
      </w:r>
      <w:proofErr w:type="gramStart"/>
      <w:r>
        <w:rPr>
          <w:rFonts w:ascii="Arial" w:hAnsi="Arial"/>
          <w:color w:val="000000"/>
          <w:sz w:val="23"/>
        </w:rPr>
        <w:t>бывшая</w:t>
      </w:r>
      <w:proofErr w:type="gramEnd"/>
      <w:r>
        <w:rPr>
          <w:rFonts w:ascii="Arial" w:hAnsi="Arial"/>
          <w:color w:val="000000"/>
          <w:sz w:val="23"/>
        </w:rPr>
        <w:t xml:space="preserve"> «НАСТА»). В 2012 г. назначена главным бухгалтером страховой компании ВСК, затем стала операционном директором «ИК РЕСО». В настоящее время</w:t>
      </w:r>
      <w:r>
        <w:rPr>
          <w:color w:val="53596B"/>
          <w:shd w:val="clear" w:color="auto" w:fill="FFFFFF"/>
        </w:rPr>
        <w:t xml:space="preserve"> –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3"/>
        </w:rPr>
        <w:t>главный бухгалтер ОАО «СГ МСК».</w:t>
      </w:r>
    </w:p>
    <w:p w:rsidR="00CA4607" w:rsidRDefault="00FA1229">
      <w:pPr>
        <w:pStyle w:val="a1"/>
      </w:pPr>
      <w:r>
        <w:br/>
      </w:r>
    </w:p>
    <w:p w:rsidR="00CA4607" w:rsidRDefault="00FA1229">
      <w:pPr>
        <w:pStyle w:val="a1"/>
      </w:pPr>
      <w:r>
        <w:br/>
      </w:r>
    </w:p>
    <w:p w:rsidR="00CA4607" w:rsidRDefault="00FA1229">
      <w:pPr>
        <w:pStyle w:val="a1"/>
      </w:pPr>
      <w:r>
        <w:br/>
      </w:r>
    </w:p>
    <w:sectPr w:rsidR="00CA4607" w:rsidSect="00CA460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980"/>
    <w:multiLevelType w:val="multilevel"/>
    <w:tmpl w:val="D9760C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0A2315"/>
    <w:multiLevelType w:val="multilevel"/>
    <w:tmpl w:val="2480AE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3C52544F"/>
    <w:multiLevelType w:val="multilevel"/>
    <w:tmpl w:val="4252D9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48F823C5"/>
    <w:multiLevelType w:val="multilevel"/>
    <w:tmpl w:val="FC4227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7989457A"/>
    <w:multiLevelType w:val="multilevel"/>
    <w:tmpl w:val="623023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9"/>
  <w:characterSpacingControl w:val="doNotCompress"/>
  <w:compat>
    <w:useFELayout/>
  </w:compat>
  <w:rsids>
    <w:rsidRoot w:val="00CA4607"/>
    <w:rsid w:val="00CA4607"/>
    <w:rsid w:val="00FA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CA4607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CA4607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6">
    <w:name w:val="Маркеры списка"/>
    <w:rsid w:val="00CA4607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A4607"/>
    <w:rPr>
      <w:color w:val="000080"/>
      <w:u w:val="single"/>
      <w:lang w:val="ru-RU" w:eastAsia="ru-RU" w:bidi="ru-RU"/>
    </w:rPr>
  </w:style>
  <w:style w:type="paragraph" w:customStyle="1" w:styleId="a0">
    <w:name w:val="Заголовок"/>
    <w:basedOn w:val="a5"/>
    <w:next w:val="a1"/>
    <w:rsid w:val="00CA460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5"/>
    <w:rsid w:val="00CA4607"/>
    <w:pPr>
      <w:spacing w:after="120"/>
    </w:pPr>
  </w:style>
  <w:style w:type="paragraph" w:styleId="a7">
    <w:name w:val="List"/>
    <w:basedOn w:val="a1"/>
    <w:rsid w:val="00CA4607"/>
  </w:style>
  <w:style w:type="paragraph" w:styleId="a8">
    <w:name w:val="Title"/>
    <w:basedOn w:val="a5"/>
    <w:rsid w:val="00CA460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5"/>
    <w:rsid w:val="00CA460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lh5.googleusercontent.com/Sep_RQrz31X6oRpmvQ-K3-VHTAT4JDYINswrVLFTc3VoM_73mAprAmlbVjTytBwe_Q2OiPS-I9h0yrY99swACwKCJgQGGtX3WOA_KtCzaN2ZHiyJbliL534R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5.googleusercontent.com/o-omUivwWjD3TCMMX99uKOJTKVX6R1NQ4GAFrFOhbAKk1MwMfz_QegnHh9M9zXwkwsDifPCJ3jks6kHruN0zK9X9yhmb7g4STjG3YnDagQpeBYdiOdVkdI3KuA" TargetMode="External"/><Relationship Id="rId5" Type="http://schemas.openxmlformats.org/officeDocument/2006/relationships/image" Target="https://lh5.googleusercontent.com/x1tcQ0ePZLtddt4IS5q1sENQklcmBMZI1dauIEptGjGdcwiCvbyVnzPAHKw6tPCdziaxuuwdrYEhsH4p5nsbbfdGWT80na-8FvhC989ycXxNUqaoEy6jqSvV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1789</Words>
  <Characters>10198</Characters>
  <Application>Microsoft Office Word</Application>
  <DocSecurity>0</DocSecurity>
  <Lines>84</Lines>
  <Paragraphs>23</Paragraphs>
  <ScaleCrop>false</ScaleCrop>
  <Company>DG Win&amp;Soft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permyakova</dc:creator>
  <cp:lastModifiedBy>Gatito</cp:lastModifiedBy>
  <cp:revision>2</cp:revision>
  <dcterms:created xsi:type="dcterms:W3CDTF">2013-12-28T20:55:00Z</dcterms:created>
  <dcterms:modified xsi:type="dcterms:W3CDTF">2013-12-28T20:55:00Z</dcterms:modified>
</cp:coreProperties>
</file>