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A9C" w:rsidRDefault="00727A9C">
      <w:pPr>
        <w:pStyle w:val="normal"/>
        <w:spacing w:before="100" w:after="280"/>
      </w:pPr>
      <w:r>
        <w:rPr>
          <w:rFonts w:ascii="Calibri" w:hAnsi="Calibri"/>
          <w:color w:val="1F497D"/>
          <w:sz w:val="22"/>
          <w:szCs w:val="22"/>
        </w:rPr>
        <w:t>Журнал АСН – Налогообложение, учет и отчетность в страховой компании №5/2004</w:t>
      </w:r>
    </w:p>
    <w:p w:rsidR="00727A9C" w:rsidRDefault="00727A9C">
      <w:pPr>
        <w:pStyle w:val="normal"/>
        <w:jc w:val="both"/>
      </w:pPr>
      <w:r>
        <w:rPr>
          <w:b/>
        </w:rPr>
        <w:t>Как спасти учет от не страховых выплат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rPr>
          <w:i/>
        </w:rPr>
        <w:t xml:space="preserve">За последние годы ИФНС наработала перечень формальных оснований, которые позволяют инспекции признать выплату не страховой. Это обязывает страховщика исключить ее из состава расходов для целей налогообложения и доплатить налог на прибыль. Существует ряд проверенных практикой ответных действий, которые может предпринять страховая компания, чтобы доказать, что выплата страховая.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rPr>
          <w:b/>
          <w:color w:val="FF0000"/>
        </w:rPr>
        <w:t xml:space="preserve">Автор: </w:t>
      </w:r>
      <w:r>
        <w:t xml:space="preserve">Екатерина Лукьянова, главный бухгалтер  ОАО «СГ </w:t>
      </w:r>
      <w:proofErr w:type="gramStart"/>
      <w:r>
        <w:t>МСК</w:t>
      </w:r>
      <w:proofErr w:type="gramEnd"/>
      <w:r>
        <w:t>»</w:t>
      </w:r>
      <w:bookmarkStart w:id="0" w:name="_GoBack"/>
      <w:bookmarkEnd w:id="0"/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proofErr w:type="gramStart"/>
      <w:r>
        <w:t>В результате обширной практики проверок страховщиков, налоговая служба стала хорошо разбираться в страховых правоустанавливающих документах: правилах страхования, описаниях продуктов, внутренних документах, регламентирующих проведение страховых выплат и их учет в бухгалтерских и страховых системах.</w:t>
      </w:r>
      <w:proofErr w:type="gramEnd"/>
      <w:r>
        <w:t xml:space="preserve"> Несоответствие этих документов, договоров или выплатных дел требованиям </w:t>
      </w:r>
      <w:r>
        <w:rPr>
          <w:color w:val="FF0000"/>
        </w:rPr>
        <w:t>законодательства</w:t>
      </w:r>
      <w:r>
        <w:t xml:space="preserve"> может стать основанием для признания выплаты не страховой. 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rPr>
          <w:b/>
        </w:rPr>
        <w:t>Какие выплаты налоговая служба признает не страховыми?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Как  правило, налоговая служба ставит обоснованность страховой выплаты под сомнение, если страховщик пренебрег необходимостью полностью укомплектовать пакет документов не только по самому договору страхования, но и по выплатным делам. В таких </w:t>
      </w:r>
      <w:proofErr w:type="gramStart"/>
      <w:r>
        <w:t>случаях</w:t>
      </w:r>
      <w:proofErr w:type="gramEnd"/>
      <w:r>
        <w:t xml:space="preserve"> страховщику необходимо попытаться доказать свою позицию с помощью обосновывающих выплату и недостающих документов. 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В первую очередь, компания должна попытаться аргументировать свою позицию, приложив дополнительные расчеты, документы, запросив недостающие подписи, печати, расшифровки, акты у своих контрагентов, в том числе –  страхователей, СТОА, ЛПУ, экспертных организаций и пр.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Например, в спорах с налоговой службой в случае претензий к выплатам по медицинскому страхованию, следует обратить внимание на то, что лечебные учреждения, помимо договоров на оказание медицинских услуг застрахованным, имеют в обязательном порядке прейскуранты цен.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Если прейскурант является приложением к договору, то при изменении прейскуранта медицинской фирмы должны быть внесены соответствующие изменения и в приложение к договору. Об этой необходимости страховщики часто забывают. А отсутствие определения в договоре стоимости медицинских услуг, равно как и самого спектра этих услуг, рассматривается налоговой службой как отсутствие в договоре существенного </w:t>
      </w:r>
      <w:r>
        <w:rPr>
          <w:color w:val="FF0000"/>
        </w:rPr>
        <w:t>условия о цене договора</w:t>
      </w:r>
      <w:r>
        <w:t xml:space="preserve">. В этом случае расходы не признаются </w:t>
      </w:r>
      <w:proofErr w:type="gramStart"/>
      <w:r>
        <w:t>страховыми</w:t>
      </w:r>
      <w:proofErr w:type="gramEnd"/>
      <w:r>
        <w:t xml:space="preserve"> для целей налогового учета.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Аналогичным образом следует проанализировать первичные документы по страховым выплатам по иным видам страхования, а также процедуры признания случая страховым и проведения расчетов причитающегося к выплате страхового возмещения.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ind w:firstLine="708"/>
        <w:jc w:val="both"/>
      </w:pPr>
    </w:p>
    <w:p w:rsidR="00727A9C" w:rsidRDefault="00727A9C">
      <w:pPr>
        <w:pStyle w:val="normal"/>
        <w:jc w:val="both"/>
      </w:pPr>
      <w:r>
        <w:rPr>
          <w:b/>
        </w:rPr>
        <w:t xml:space="preserve">Боремся с </w:t>
      </w:r>
      <w:proofErr w:type="gramStart"/>
      <w:r>
        <w:rPr>
          <w:b/>
        </w:rPr>
        <w:t>налоговой</w:t>
      </w:r>
      <w:proofErr w:type="gramEnd"/>
      <w:r>
        <w:rPr>
          <w:b/>
        </w:rPr>
        <w:t>: подаем в суд на … клиента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Если аргументы и доказательства, обосновывающие позицию компании, не привели к признанию выплаты страховой, то необходимо предпринимать более сложные действия. 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Напомним, что единственным правовым основанием для выплаты страхового возмещения по договору страхования является страховой случай. Если же страховая выплата не признана налоговой службой обоснованной, то и случай является не страховым, а произведенная выплата – ошибочна.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>Поэтому в ситуации, когда страховой случай не признан налоговой службой страховым исходя из условий конкретного договора страхования, а страховое возмещение фактически выплачено, компания вправе обратиться к страхователю (</w:t>
      </w:r>
      <w:proofErr w:type="spellStart"/>
      <w:r>
        <w:t>выгодоприобретателю</w:t>
      </w:r>
      <w:proofErr w:type="spellEnd"/>
      <w:r>
        <w:t xml:space="preserve">) с иском о возврате неосновательного обогащения в соответствии со ст. 1102 ГК РФ.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Если страхователь не согласится с таким иском (чего следует ожидать), то он имеет неплохие шансы выиграть суд. Подобным судебным решением ставится под сомнение не только исковое требование страховщика, но и позиция самой налоговой службы. </w:t>
      </w:r>
    </w:p>
    <w:p w:rsidR="00727A9C" w:rsidRDefault="00727A9C">
      <w:pPr>
        <w:pStyle w:val="normal"/>
        <w:ind w:firstLine="540"/>
        <w:jc w:val="both"/>
      </w:pPr>
    </w:p>
    <w:p w:rsidR="00727A9C" w:rsidRDefault="00727A9C">
      <w:pPr>
        <w:pStyle w:val="normal"/>
        <w:jc w:val="both"/>
      </w:pPr>
      <w:r>
        <w:t>Если компания начислила доход по выставленному иску в части неосновательного обогащения (в соответствии со своей учетной политикой), то данный доход должен быть сторнирован. Выполнять обязанности налогового агента в части предоставления сведений о доходах физического лица в этом случае не нужно. Основанием для сторнирующих проводок будет служить решение суда по спору между компанией и страхователем (</w:t>
      </w:r>
      <w:proofErr w:type="spellStart"/>
      <w:r>
        <w:t>выгодоприобретателем</w:t>
      </w:r>
      <w:proofErr w:type="spellEnd"/>
      <w:r>
        <w:t>).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Если же не страховая выплата произведена физическому лицу, а компания приняла управленческое решение не предъявлять иск, то в качестве налогового агента она обязана уведомить </w:t>
      </w:r>
      <w:proofErr w:type="gramStart"/>
      <w:r>
        <w:t>налоговую</w:t>
      </w:r>
      <w:proofErr w:type="gramEnd"/>
      <w:r>
        <w:t xml:space="preserve"> о невозможности удержания НДФЛ с этого </w:t>
      </w:r>
      <w:proofErr w:type="spellStart"/>
      <w:r>
        <w:t>физлица</w:t>
      </w:r>
      <w:proofErr w:type="spellEnd"/>
      <w:r>
        <w:t xml:space="preserve">. Тогда она должна подать сведения о доходах </w:t>
      </w:r>
      <w:proofErr w:type="spellStart"/>
      <w:r>
        <w:t>физлица</w:t>
      </w:r>
      <w:proofErr w:type="spellEnd"/>
      <w:r>
        <w:t xml:space="preserve"> и уведомить его о том, что он получил доход, отличный от страховой выплаты.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rPr>
          <w:b/>
        </w:rPr>
        <w:t>Корректировка отчетности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Если же оспорить решение налоговой службы не удалось, то страховщику придется корректировать отчетность.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Порядок действий налогоплательщика на том или ином этапе налоговой проверки подробно описан в письме ФНС  от 21 ноября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АС-4-2/19576 «О некоторых вопросах, связанных с учетом уточненных налоговых деклараций при принятии решения по результатам налоговой проверки». В </w:t>
      </w:r>
      <w:proofErr w:type="gramStart"/>
      <w:r>
        <w:t>нем</w:t>
      </w:r>
      <w:proofErr w:type="gramEnd"/>
      <w:r>
        <w:t xml:space="preserve"> налоговая служба уточняет и достаточно широко комментирует действия налогоплательщика в тот или иной момент времени относительно периода проведения камеральной или выездной налоговой проверки. Так, ФНС поясняет, что Налоговый кодекс </w:t>
      </w:r>
      <w:r>
        <w:rPr>
          <w:b/>
        </w:rPr>
        <w:t>не предусматривает права или обязанности налогоплательщика представить уточненную налоговую декларацию по нарушениям, выявленным налоговым органом.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В развитие указанных норм, порядками заполнения конкретных налоговых деклараций прямо предусмотрено, что </w:t>
      </w:r>
      <w:r>
        <w:rPr>
          <w:i/>
        </w:rPr>
        <w:t xml:space="preserve">при перерасчете налогоплательщиком сумм налога не учитываются результаты налоговых проверок за тот налоговый период, по которому налогоплательщиком производится перерасчет сумм налога.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lastRenderedPageBreak/>
        <w:t xml:space="preserve">При этом предложение налогоплательщику </w:t>
      </w:r>
      <w:r>
        <w:rPr>
          <w:b/>
        </w:rPr>
        <w:t>внести необходимые исправления в документы бухгалтерского и налогового учета,</w:t>
      </w:r>
      <w:r>
        <w:t xml:space="preserve"> указываемое в резолютивной части решения о привлечении (или об отказе в привлечении) к ответственности за совершение налогового правонарушения, </w:t>
      </w:r>
      <w:r>
        <w:rPr>
          <w:b/>
        </w:rPr>
        <w:t>не влечет обязанность налогоплательщика представить уточненные налоговые декларации.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Налоговые декларации не относятся к документам налогового учета, а представляют собой заявления налогоплательщика об объектах налогообложения, полученных доходах и произведенных расходах, источниках доходов, налоговой базе, налоговых льготах, исчисленной сумме налога и (или) других данных, служащих основанием для исчисления и уплаты конкретных налогов (пункт 1 статьи 80 Налогового кодекса). Следовательно, указанное предложение налогоплательщику не должно </w:t>
      </w:r>
      <w:proofErr w:type="gramStart"/>
      <w:r>
        <w:t>формулироваться</w:t>
      </w:r>
      <w:proofErr w:type="gramEnd"/>
      <w:r>
        <w:t xml:space="preserve"> как предложение представить уточненные налоговые декларации (расчеты).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При решении вопроса о внесении исправлений в бухгалтерскую отчетность, необходимо действовать в соответствии с ПБУ 22/2010. В </w:t>
      </w:r>
      <w:proofErr w:type="gramStart"/>
      <w:r>
        <w:t>случае</w:t>
      </w:r>
      <w:proofErr w:type="gramEnd"/>
      <w:r>
        <w:t xml:space="preserve">, когда компания вынуждена исправить ошибки в соответствии с решением налогового органа, ошибка, на которую надо скорректировать бухгалтерский учет и отчетность, относится к предшествующим периодам и уже утвержденной бухгалтерской отчетности.  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Не стоит забывать, что существенность ошибки организация определяет самостоятельно, исходя как из величины, так и из характера соответствующей статьи (статей) бухгалтерской отчетности. </w:t>
      </w:r>
      <w:r>
        <w:rPr>
          <w:b/>
        </w:rPr>
        <w:t xml:space="preserve">В учетной политике целесообразно определить механизм квалификации существенной ошибки.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>Существенная ошибка предшествующего отчетного года, выявленная после утверждения бухгалтерской отчетности за этот год, исправляется:</w:t>
      </w:r>
    </w:p>
    <w:p w:rsidR="00727A9C" w:rsidRDefault="00727A9C">
      <w:pPr>
        <w:pStyle w:val="normal"/>
        <w:ind w:firstLine="708"/>
        <w:jc w:val="both"/>
      </w:pPr>
      <w:r>
        <w:t>1) записями по соответствующим счетам бухгалтерского учета в текущем отчетном периоде путем корректировочных записей счетов учета нераспределенной прибыли (непокрытого убытка);</w:t>
      </w:r>
    </w:p>
    <w:p w:rsidR="00727A9C" w:rsidRDefault="00727A9C">
      <w:pPr>
        <w:pStyle w:val="normal"/>
        <w:ind w:firstLine="708"/>
        <w:jc w:val="both"/>
      </w:pPr>
      <w:r>
        <w:t>2) путем пересчета сравнительных показателей бухгалтерской отчетности за отчетные периоды, отраженные в бухгалтерской отчетности за текущий отчетный год, – за исключением случаев, когда невозможно установить связь этой ошибки с конкретным периодом, либо невозможно определить влияние этой ошибки накопительным итогом в отношении всех предшествующих отчетных периодов.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>При этом не подлежит пересмотру, замене и повторному представлению пользователям бухгалтерской отчетности отчетность за предшествующие годы.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proofErr w:type="gramStart"/>
      <w:r>
        <w:t>В связи с тем, что налоговая проверка обычно затрагивает не более трех лет,  может возникнуть ситуация, когда существенная ошибка была допущена до начала самого раннего из представленных в бухгалтерской отчетности за текущий отчетный год отчетного периода.</w:t>
      </w:r>
      <w:proofErr w:type="gramEnd"/>
      <w:r>
        <w:t xml:space="preserve"> В </w:t>
      </w:r>
      <w:proofErr w:type="gramStart"/>
      <w:r>
        <w:t>этом</w:t>
      </w:r>
      <w:proofErr w:type="gramEnd"/>
      <w:r>
        <w:t xml:space="preserve"> случае корректировке подлежат начальные сальдо по соответствующим статьям активов, обязательств и капитала на начало самого раннего из представленных отчетных периодов.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При несущественной ошибке корректировки проводятся в отчетном периоде. В </w:t>
      </w:r>
      <w:proofErr w:type="gramStart"/>
      <w:r>
        <w:t>месяце</w:t>
      </w:r>
      <w:proofErr w:type="gramEnd"/>
      <w:r>
        <w:t xml:space="preserve"> получения решения ретроспективный пересчет не производится.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Как показывает практика, самой частой причиной ошибок, влекущих проблемы  с налоговой, является человеческий фактор и недостатки </w:t>
      </w:r>
      <w:proofErr w:type="gramStart"/>
      <w:r>
        <w:t>системы проверки качества работы сотрудников</w:t>
      </w:r>
      <w:proofErr w:type="gramEnd"/>
      <w:r>
        <w:t xml:space="preserve">. Защитить от этих рисков помогают высоко технологичная </w:t>
      </w:r>
      <w:r>
        <w:lastRenderedPageBreak/>
        <w:t xml:space="preserve">операционная система, а также четко выстроенный и подробно регламентированный документооборот.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jc w:val="both"/>
      </w:pPr>
      <w:r>
        <w:t xml:space="preserve">Если компания пользуется специальной страховой системой учета, то в ней в обязательном порядке должны быть заложены процедуры контроля, дабы исключить человеческий фактор и мошеннические действия. Если такой системы нет или ее контрольные процедуры недостаточны, то компания должна проводить дополнительные регламентные внутренние мероприятия. Как правило, это делается с помощью отдельных подразделений бухгалтерии или службы внутреннего контроля. Главное при этом –  соблюдение принципа «четырех глаз»: принятие решения о выплате и </w:t>
      </w:r>
      <w:proofErr w:type="gramStart"/>
      <w:r>
        <w:t>контроль за</w:t>
      </w:r>
      <w:proofErr w:type="gramEnd"/>
      <w:r>
        <w:t xml:space="preserve"> выплатами должны выполнять разные подразделения.  </w:t>
      </w:r>
    </w:p>
    <w:p w:rsidR="00727A9C" w:rsidRDefault="00727A9C">
      <w:pPr>
        <w:pStyle w:val="normal"/>
        <w:jc w:val="both"/>
      </w:pPr>
    </w:p>
    <w:p w:rsidR="00727A9C" w:rsidRDefault="00727A9C">
      <w:pPr>
        <w:pStyle w:val="normal"/>
        <w:ind w:firstLine="708"/>
        <w:jc w:val="both"/>
      </w:pPr>
    </w:p>
    <w:p w:rsidR="00727A9C" w:rsidRDefault="00727A9C">
      <w:pPr>
        <w:pStyle w:val="normal"/>
        <w:ind w:firstLine="540"/>
        <w:jc w:val="both"/>
      </w:pPr>
    </w:p>
    <w:sectPr w:rsidR="00727A9C" w:rsidSect="005B0C81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B34F9F"/>
    <w:rsid w:val="001C10A6"/>
    <w:rsid w:val="001F0FFE"/>
    <w:rsid w:val="0044337D"/>
    <w:rsid w:val="005B0C81"/>
    <w:rsid w:val="00727A9C"/>
    <w:rsid w:val="0082348C"/>
    <w:rsid w:val="008B44C8"/>
    <w:rsid w:val="00B34F9F"/>
    <w:rsid w:val="00B64243"/>
    <w:rsid w:val="00DA4E05"/>
    <w:rsid w:val="00EB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81"/>
    <w:rPr>
      <w:color w:val="000000"/>
      <w:sz w:val="24"/>
      <w:szCs w:val="20"/>
    </w:rPr>
  </w:style>
  <w:style w:type="paragraph" w:styleId="1">
    <w:name w:val="heading 1"/>
    <w:basedOn w:val="normal"/>
    <w:next w:val="normal"/>
    <w:link w:val="10"/>
    <w:uiPriority w:val="99"/>
    <w:qFormat/>
    <w:rsid w:val="005B0C8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link w:val="20"/>
    <w:uiPriority w:val="99"/>
    <w:qFormat/>
    <w:rsid w:val="005B0C8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link w:val="30"/>
    <w:uiPriority w:val="99"/>
    <w:qFormat/>
    <w:rsid w:val="005B0C8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40"/>
    <w:uiPriority w:val="99"/>
    <w:qFormat/>
    <w:rsid w:val="005B0C81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link w:val="50"/>
    <w:uiPriority w:val="99"/>
    <w:qFormat/>
    <w:rsid w:val="005B0C8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normal"/>
    <w:next w:val="normal"/>
    <w:link w:val="60"/>
    <w:uiPriority w:val="99"/>
    <w:qFormat/>
    <w:rsid w:val="005B0C8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BD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BD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3BD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3BD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3BD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3BD8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">
    <w:name w:val="normal"/>
    <w:uiPriority w:val="99"/>
    <w:rsid w:val="005B0C81"/>
    <w:rPr>
      <w:color w:val="000000"/>
      <w:sz w:val="24"/>
      <w:szCs w:val="20"/>
    </w:rPr>
  </w:style>
  <w:style w:type="table" w:customStyle="1" w:styleId="TableNormal1">
    <w:name w:val="Table Normal1"/>
    <w:uiPriority w:val="99"/>
    <w:rsid w:val="005B0C81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uiPriority w:val="99"/>
    <w:qFormat/>
    <w:rsid w:val="005B0C81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uiPriority w:val="10"/>
    <w:rsid w:val="00DC3BD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5B0C8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uiPriority w:val="11"/>
    <w:rsid w:val="00DC3BD8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 - РЕД  - нестраховая выплата Лукьянова Ек..docx.docx</dc:title>
  <dc:creator>Олесюк </dc:creator>
  <cp:lastModifiedBy>Олесюк </cp:lastModifiedBy>
  <cp:revision>2</cp:revision>
  <dcterms:created xsi:type="dcterms:W3CDTF">2014-12-04T10:17:00Z</dcterms:created>
  <dcterms:modified xsi:type="dcterms:W3CDTF">2014-12-04T10:17:00Z</dcterms:modified>
</cp:coreProperties>
</file>